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9A5477">
        <w:rPr>
          <w:rFonts w:ascii="Edwardian Script ITC" w:eastAsia="Pinyon Script" w:hAnsi="Edwardian Script ITC" w:cs="Arial"/>
          <w:b/>
          <w:color w:val="000000"/>
          <w:sz w:val="36"/>
          <w:szCs w:val="36"/>
        </w:rPr>
        <w:t>3</w:t>
      </w:r>
      <w:r w:rsidRPr="00330383">
        <w:rPr>
          <w:rFonts w:ascii="Edwardian Script ITC" w:eastAsia="Pinyon Script" w:hAnsi="Edwardian Script ITC" w:cs="Arial"/>
          <w:b/>
          <w:color w:val="000000"/>
          <w:sz w:val="36"/>
          <w:szCs w:val="36"/>
        </w:rPr>
        <w:t>-202</w:t>
      </w:r>
      <w:r w:rsidR="009A5477">
        <w:rPr>
          <w:rFonts w:ascii="Edwardian Script ITC" w:eastAsia="Pinyon Script" w:hAnsi="Edwardian Script ITC" w:cs="Arial"/>
          <w:b/>
          <w:color w:val="000000"/>
          <w:sz w:val="36"/>
          <w:szCs w:val="36"/>
        </w:rPr>
        <w:t>4</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540311" w:rsidRDefault="000F3249" w:rsidP="00540311">
      <w:pPr>
        <w:pStyle w:val="Sinespaciado"/>
        <w:rPr>
          <w:rFonts w:eastAsia="Arial"/>
          <w:b/>
        </w:rPr>
      </w:pPr>
      <w:bookmarkStart w:id="0" w:name="_GoBack"/>
      <w:r w:rsidRPr="00540311">
        <w:rPr>
          <w:rFonts w:eastAsia="Arial"/>
          <w:b/>
          <w:color w:val="000000"/>
        </w:rPr>
        <w:t xml:space="preserve">TEXTO DEFINITIVO APROBADO EN PRIMER DEBATE DEL </w:t>
      </w:r>
      <w:r w:rsidRPr="00540311">
        <w:rPr>
          <w:rFonts w:eastAsia="Arial"/>
          <w:b/>
        </w:rPr>
        <w:t xml:space="preserve">PROYECTO DE LEY </w:t>
      </w:r>
      <w:r w:rsidR="006D2A59" w:rsidRPr="00540311">
        <w:rPr>
          <w:rStyle w:val="Textoennegrita"/>
          <w:rFonts w:cs="Arial"/>
          <w:b w:val="0"/>
        </w:rPr>
        <w:t xml:space="preserve">No. </w:t>
      </w:r>
      <w:r w:rsidR="006D2A59" w:rsidRPr="00540311">
        <w:rPr>
          <w:rStyle w:val="SinespaciadoCar"/>
          <w:rFonts w:cs="Arial"/>
          <w:b/>
        </w:rPr>
        <w:t xml:space="preserve">331 DE 2023 CÁMARA – 115 DE 2023 SENADO </w:t>
      </w:r>
      <w:r w:rsidR="00540311" w:rsidRPr="00540311">
        <w:rPr>
          <w:b/>
          <w:lang w:val="es-ES"/>
        </w:rPr>
        <w:t>“POR MEDIO DE LA CUAL SE GARANTIZA EL ACCESO AL SISTEMA GENERAL DE SEGURIDAD SOCIAL EN SALUD PARA LOS DIGNATARIOS DE LOS ORGANISMOS DE ACCIÓN COMUNAL A LOS QUE SE REFIEREN LOS ARTÍCULOS 38 Y 39 DE LA LEY 2166 DE 2021, Y SE DISPONEN OTROS BENEFICIOS</w:t>
      </w:r>
      <w:r w:rsidR="00540311" w:rsidRPr="00540311">
        <w:rPr>
          <w:rFonts w:eastAsia="Arial"/>
          <w:b/>
        </w:rPr>
        <w:t>”</w:t>
      </w:r>
      <w:r w:rsidR="006D2A59" w:rsidRPr="00540311">
        <w:rPr>
          <w:rStyle w:val="SinespaciadoCar"/>
          <w:rFonts w:cs="Arial"/>
          <w:b/>
        </w:rPr>
        <w:t>.</w:t>
      </w:r>
      <w:bookmarkEnd w:id="0"/>
    </w:p>
    <w:p w:rsidR="00931B69" w:rsidRDefault="00931B69" w:rsidP="009A5477">
      <w:pPr>
        <w:pStyle w:val="Sinespaciado"/>
        <w:jc w:val="center"/>
        <w:rPr>
          <w:rFonts w:cs="Arial"/>
        </w:rPr>
      </w:pPr>
    </w:p>
    <w:p w:rsidR="00900D93" w:rsidRPr="009A5477" w:rsidRDefault="000F3249" w:rsidP="009A5477">
      <w:pPr>
        <w:pStyle w:val="Sinespaciado"/>
        <w:jc w:val="center"/>
        <w:rPr>
          <w:rFonts w:cs="Arial"/>
        </w:rPr>
      </w:pPr>
      <w:r w:rsidRPr="009A5477">
        <w:rPr>
          <w:rFonts w:cs="Arial"/>
        </w:rPr>
        <w:t xml:space="preserve">(Aprobado en la Sesión presencial del </w:t>
      </w:r>
      <w:r w:rsidR="00152BC0">
        <w:rPr>
          <w:rFonts w:cs="Arial"/>
        </w:rPr>
        <w:t>4 de junio de 2024</w:t>
      </w:r>
      <w:r w:rsidR="009A5477" w:rsidRPr="009A5477">
        <w:rPr>
          <w:rFonts w:cs="Arial"/>
        </w:rPr>
        <w:t>, Comisión VII Constituciona</w:t>
      </w:r>
      <w:r w:rsidR="009A5477">
        <w:rPr>
          <w:rFonts w:cs="Arial"/>
        </w:rPr>
        <w:t xml:space="preserve">l </w:t>
      </w:r>
      <w:r w:rsidRPr="009A5477">
        <w:rPr>
          <w:rFonts w:cs="Arial"/>
        </w:rPr>
        <w:t xml:space="preserve">Permanente de la H. Cámara de Representantes, </w:t>
      </w:r>
      <w:r w:rsidR="009A5477">
        <w:rPr>
          <w:rFonts w:cs="Arial"/>
        </w:rPr>
        <w:t>a</w:t>
      </w:r>
      <w:r w:rsidRPr="009A5477">
        <w:rPr>
          <w:rFonts w:cs="Arial"/>
        </w:rPr>
        <w:t xml:space="preserve">cta No. </w:t>
      </w:r>
      <w:r w:rsidR="00152BC0">
        <w:rPr>
          <w:rFonts w:cs="Arial"/>
        </w:rPr>
        <w:t>50</w:t>
      </w:r>
      <w:r w:rsidRPr="009A5477">
        <w:rPr>
          <w:rFonts w:cs="Arial"/>
        </w:rPr>
        <w:t>)</w:t>
      </w:r>
    </w:p>
    <w:p w:rsidR="00900D93" w:rsidRPr="00330383" w:rsidRDefault="00900D93" w:rsidP="00D410FE">
      <w:pPr>
        <w:pBdr>
          <w:top w:val="nil"/>
          <w:left w:val="nil"/>
          <w:bottom w:val="nil"/>
          <w:right w:val="nil"/>
          <w:between w:val="nil"/>
        </w:pBdr>
        <w:spacing w:after="0" w:line="240" w:lineRule="atLeast"/>
        <w:jc w:val="both"/>
        <w:rPr>
          <w:rFonts w:ascii="Arial" w:eastAsia="Arial" w:hAnsi="Arial" w:cs="Arial"/>
          <w:color w:val="000000"/>
        </w:rPr>
      </w:pPr>
    </w:p>
    <w:p w:rsidR="00900D93" w:rsidRPr="00330383" w:rsidRDefault="000F3249" w:rsidP="00D410FE">
      <w:pPr>
        <w:spacing w:before="240" w:after="0" w:line="240" w:lineRule="atLeast"/>
        <w:jc w:val="center"/>
        <w:rPr>
          <w:rFonts w:ascii="Arial" w:eastAsia="Arial" w:hAnsi="Arial" w:cs="Arial"/>
          <w:b/>
        </w:rPr>
      </w:pPr>
      <w:r w:rsidRPr="00330383">
        <w:rPr>
          <w:rFonts w:ascii="Arial" w:eastAsia="Arial" w:hAnsi="Arial" w:cs="Arial"/>
          <w:b/>
        </w:rPr>
        <w:t>EL CONGRESO DE COLOMBIA</w:t>
      </w:r>
    </w:p>
    <w:p w:rsidR="00900D93" w:rsidRDefault="000F3249" w:rsidP="00D410FE">
      <w:pPr>
        <w:spacing w:before="240" w:after="0" w:line="240" w:lineRule="atLeast"/>
        <w:jc w:val="center"/>
        <w:rPr>
          <w:rFonts w:ascii="Arial" w:eastAsia="Arial" w:hAnsi="Arial" w:cs="Arial"/>
          <w:b/>
        </w:rPr>
      </w:pPr>
      <w:r w:rsidRPr="00330383">
        <w:rPr>
          <w:rFonts w:ascii="Arial" w:eastAsia="Arial" w:hAnsi="Arial" w:cs="Arial"/>
          <w:b/>
        </w:rPr>
        <w:t>DECRETA:</w:t>
      </w:r>
    </w:p>
    <w:p w:rsidR="00D410FE" w:rsidRPr="00330383" w:rsidRDefault="00D410FE" w:rsidP="00D410FE">
      <w:pPr>
        <w:pStyle w:val="Sinespaciado"/>
        <w:spacing w:line="240" w:lineRule="atLeast"/>
      </w:pPr>
    </w:p>
    <w:p w:rsidR="001B785B" w:rsidRPr="002D63B0" w:rsidRDefault="001B785B" w:rsidP="001B785B">
      <w:pPr>
        <w:spacing w:line="240" w:lineRule="exact"/>
        <w:jc w:val="both"/>
        <w:rPr>
          <w:rFonts w:ascii="Arial" w:hAnsi="Arial" w:cs="Arial"/>
          <w:bCs/>
        </w:rPr>
      </w:pPr>
      <w:r w:rsidRPr="002D63B0">
        <w:rPr>
          <w:rFonts w:ascii="Arial" w:hAnsi="Arial" w:cs="Arial"/>
          <w:b/>
        </w:rPr>
        <w:t>Artículo 1º. Objeto</w:t>
      </w:r>
      <w:r w:rsidRPr="002D63B0">
        <w:rPr>
          <w:rFonts w:ascii="Arial" w:hAnsi="Arial" w:cs="Arial"/>
          <w:bCs/>
        </w:rPr>
        <w:t xml:space="preserve">. La presente Ley tiene como finalidad primordial garantizar los mecanismos necesarios para el pleno ejercicio de sus derechos a la seguridad social en salud y el reconocimiento de otros beneficios por causa del servicio prestado, </w:t>
      </w:r>
      <w:r w:rsidRPr="002D63B0">
        <w:rPr>
          <w:rFonts w:ascii="Arial" w:eastAsia="Arial" w:hAnsi="Arial" w:cs="Arial"/>
          <w:bCs/>
        </w:rPr>
        <w:t xml:space="preserve">a los dignatarios de </w:t>
      </w:r>
      <w:r w:rsidRPr="002D63B0">
        <w:rPr>
          <w:rFonts w:ascii="Arial" w:hAnsi="Arial" w:cs="Arial"/>
          <w:bCs/>
        </w:rPr>
        <w:t>los Organismos</w:t>
      </w:r>
      <w:r w:rsidRPr="002D63B0">
        <w:rPr>
          <w:rFonts w:ascii="Arial" w:eastAsia="Arial" w:hAnsi="Arial" w:cs="Arial"/>
          <w:bCs/>
        </w:rPr>
        <w:t xml:space="preserve"> de Acción Comunal </w:t>
      </w:r>
      <w:r w:rsidRPr="002D63B0">
        <w:rPr>
          <w:rFonts w:ascii="Arial" w:hAnsi="Arial" w:cs="Arial"/>
          <w:bCs/>
        </w:rPr>
        <w:t xml:space="preserve">en todo el territorio nacional a los que se refieren los artículos 38 y 39 de la Ley 2166 de 2021, la que la modifique o complemente. </w:t>
      </w:r>
    </w:p>
    <w:p w:rsidR="001B785B" w:rsidRPr="002D63B0" w:rsidRDefault="001B785B" w:rsidP="001B785B">
      <w:pPr>
        <w:spacing w:line="240" w:lineRule="exact"/>
        <w:jc w:val="both"/>
        <w:rPr>
          <w:rFonts w:ascii="Arial" w:hAnsi="Arial" w:cs="Arial"/>
          <w:b/>
        </w:rPr>
      </w:pPr>
      <w:r w:rsidRPr="002D63B0">
        <w:rPr>
          <w:rFonts w:ascii="Arial" w:eastAsia="Arial" w:hAnsi="Arial" w:cs="Arial"/>
          <w:b/>
        </w:rPr>
        <w:t>Artículo 2º.</w:t>
      </w:r>
      <w:r w:rsidRPr="002D63B0">
        <w:rPr>
          <w:rFonts w:ascii="Arial" w:hAnsi="Arial" w:cs="Arial"/>
          <w:b/>
        </w:rPr>
        <w:t xml:space="preserve"> Afiliación al Sistema General de Seguridad Social en Salud para los dignatarios de los Organismos de Acción Comunal.</w:t>
      </w:r>
    </w:p>
    <w:p w:rsidR="001B785B" w:rsidRPr="002D63B0" w:rsidRDefault="001B785B" w:rsidP="001B785B">
      <w:pPr>
        <w:spacing w:line="240" w:lineRule="exact"/>
        <w:jc w:val="both"/>
        <w:rPr>
          <w:rFonts w:ascii="Arial" w:hAnsi="Arial" w:cs="Arial"/>
          <w:bCs/>
        </w:rPr>
      </w:pPr>
      <w:r w:rsidRPr="002D63B0">
        <w:rPr>
          <w:rFonts w:ascii="Arial" w:hAnsi="Arial" w:cs="Arial"/>
          <w:bCs/>
        </w:rPr>
        <w:t>Cuando los dignatarios de los Organismos de Acción Comunal no cuenten con afiliación al SGSSS, el Organismo de Acción Comunal, a través de su Secretario General, informará a la Secretaría de Salud territorial respectiva para que se inicie u oriente el trámite de afiliación en el Régimen que corresponda y según el cumplimiento de sus requisitos.</w:t>
      </w:r>
    </w:p>
    <w:p w:rsidR="001B785B" w:rsidRPr="002D63B0" w:rsidRDefault="001B785B" w:rsidP="001B785B">
      <w:pPr>
        <w:spacing w:before="240" w:line="240" w:lineRule="exact"/>
        <w:jc w:val="both"/>
        <w:rPr>
          <w:rFonts w:ascii="Arial" w:hAnsi="Arial" w:cs="Arial"/>
        </w:rPr>
      </w:pPr>
      <w:r w:rsidRPr="002D63B0">
        <w:rPr>
          <w:rFonts w:ascii="Arial" w:hAnsi="Arial" w:cs="Arial"/>
          <w:b/>
          <w:bCs/>
        </w:rPr>
        <w:t>Artículo 3º. Solicitud de caracterización.</w:t>
      </w:r>
      <w:r w:rsidRPr="002D63B0">
        <w:rPr>
          <w:rFonts w:ascii="Arial" w:hAnsi="Arial" w:cs="Arial"/>
        </w:rPr>
        <w:t xml:space="preserve"> Cuando el dignatario no se encuentre registrado en el Sisbén, o en el sistema que haga sus veces, el dignatario del Organismo de Acción Comunal hará la solicitud ante la Alcaldía Municipal o Distrital con el fin de que se realice la caracterización respectiva. El proceso de caracterización no podrá tardar más de 30 días calendario.</w:t>
      </w:r>
    </w:p>
    <w:p w:rsidR="001B785B" w:rsidRPr="002D63B0" w:rsidRDefault="001B785B" w:rsidP="001B785B">
      <w:pPr>
        <w:spacing w:before="240" w:after="240" w:line="240" w:lineRule="exact"/>
        <w:jc w:val="both"/>
        <w:rPr>
          <w:rFonts w:ascii="Arial" w:eastAsia="Arial" w:hAnsi="Arial" w:cs="Arial"/>
          <w:bCs/>
        </w:rPr>
      </w:pPr>
      <w:r w:rsidRPr="002D63B0">
        <w:rPr>
          <w:rFonts w:ascii="Arial" w:eastAsia="Arial" w:hAnsi="Arial" w:cs="Arial"/>
          <w:b/>
        </w:rPr>
        <w:t>Artículo 4</w:t>
      </w:r>
      <w:r w:rsidRPr="002D63B0">
        <w:rPr>
          <w:rFonts w:ascii="Arial" w:hAnsi="Arial" w:cs="Arial"/>
          <w:b/>
          <w:bCs/>
        </w:rPr>
        <w:t>º</w:t>
      </w:r>
      <w:r w:rsidRPr="002D63B0">
        <w:rPr>
          <w:rFonts w:ascii="Arial" w:eastAsia="Arial" w:hAnsi="Arial" w:cs="Arial"/>
          <w:b/>
        </w:rPr>
        <w:t>. Otros beneficios a los dignatarios de los Organismos de acción comunal</w:t>
      </w:r>
      <w:r w:rsidRPr="002D63B0">
        <w:rPr>
          <w:rFonts w:ascii="Arial" w:eastAsia="Arial" w:hAnsi="Arial" w:cs="Arial"/>
          <w:bCs/>
        </w:rPr>
        <w:t>. Adiciónense los siguientes literales al artículo 39 de la Ley 2166 de 2021:</w:t>
      </w:r>
    </w:p>
    <w:p w:rsidR="001B785B" w:rsidRPr="002D63B0" w:rsidRDefault="001B785B" w:rsidP="001B785B">
      <w:pPr>
        <w:spacing w:before="240" w:after="240" w:line="240" w:lineRule="exact"/>
        <w:jc w:val="both"/>
        <w:rPr>
          <w:rFonts w:ascii="Arial" w:eastAsia="Arial" w:hAnsi="Arial" w:cs="Arial"/>
        </w:rPr>
      </w:pPr>
      <w:r w:rsidRPr="002D63B0">
        <w:rPr>
          <w:rFonts w:ascii="Arial" w:eastAsia="Arial" w:hAnsi="Arial" w:cs="Arial"/>
          <w:b/>
        </w:rPr>
        <w:t>h. Seguro de inhumación.</w:t>
      </w:r>
      <w:r w:rsidRPr="002D63B0">
        <w:rPr>
          <w:rFonts w:ascii="Arial" w:eastAsia="Arial" w:hAnsi="Arial" w:cs="Arial"/>
          <w:bCs/>
        </w:rPr>
        <w:t xml:space="preserve"> El Gobierno Nacional, en coordinación con la administración municipal; podrá contratar seguros de inhumación para dar cobertura en caso de muerte de un dignatario</w:t>
      </w:r>
      <w:r w:rsidRPr="002D63B0">
        <w:rPr>
          <w:rFonts w:ascii="Arial" w:eastAsia="Arial" w:hAnsi="Arial" w:cs="Arial"/>
          <w:bCs/>
          <w:strike/>
        </w:rPr>
        <w:t>s</w:t>
      </w:r>
      <w:r w:rsidRPr="002D63B0">
        <w:rPr>
          <w:rFonts w:ascii="Arial" w:eastAsia="Arial" w:hAnsi="Arial" w:cs="Arial"/>
          <w:bCs/>
        </w:rPr>
        <w:t xml:space="preserve"> de los Organismos</w:t>
      </w:r>
      <w:r w:rsidRPr="002D63B0">
        <w:rPr>
          <w:rFonts w:ascii="Arial" w:eastAsia="Arial" w:hAnsi="Arial" w:cs="Arial"/>
          <w:b/>
          <w:bCs/>
          <w:u w:val="single"/>
        </w:rPr>
        <w:t xml:space="preserve"> </w:t>
      </w:r>
      <w:r w:rsidRPr="002D63B0">
        <w:rPr>
          <w:rFonts w:ascii="Arial" w:eastAsia="Arial" w:hAnsi="Arial" w:cs="Arial"/>
        </w:rPr>
        <w:t xml:space="preserve">de acción comunal cuya familia sobreviviente carezca de medios económicos para sufragar los gastos de inhumación. </w:t>
      </w:r>
    </w:p>
    <w:p w:rsidR="001B785B" w:rsidRPr="002D63B0" w:rsidRDefault="001B785B" w:rsidP="001B785B">
      <w:pPr>
        <w:spacing w:before="240" w:after="240" w:line="240" w:lineRule="exact"/>
        <w:jc w:val="both"/>
        <w:rPr>
          <w:rFonts w:ascii="Arial" w:eastAsia="Arial" w:hAnsi="Arial" w:cs="Arial"/>
          <w:b/>
          <w:u w:val="single"/>
        </w:rPr>
      </w:pPr>
      <w:r w:rsidRPr="002D63B0">
        <w:rPr>
          <w:rFonts w:ascii="Arial" w:eastAsia="Arial" w:hAnsi="Arial" w:cs="Arial"/>
          <w:b/>
        </w:rPr>
        <w:t>i.</w:t>
      </w:r>
      <w:r w:rsidRPr="002D63B0">
        <w:rPr>
          <w:rFonts w:ascii="Arial" w:eastAsia="Arial" w:hAnsi="Arial" w:cs="Arial"/>
        </w:rPr>
        <w:t xml:space="preserve"> </w:t>
      </w:r>
      <w:r w:rsidRPr="002D63B0">
        <w:rPr>
          <w:rFonts w:ascii="Arial" w:eastAsia="Arial" w:hAnsi="Arial" w:cs="Arial"/>
          <w:b/>
        </w:rPr>
        <w:t>Seguro de vida.</w:t>
      </w:r>
      <w:r w:rsidRPr="002D63B0">
        <w:rPr>
          <w:rFonts w:ascii="Arial" w:eastAsia="Arial" w:hAnsi="Arial" w:cs="Arial"/>
        </w:rPr>
        <w:t xml:space="preserve"> El Gobierno Nacional, en coordinación con la administración municipal o Distrital en desarrollo del principio de concurrencia, podrá contratar seguros de vida para dar cobertura a los beneficiarios directos de los dignatarios de los Organismos de acción comunal en caso de asesinato, indemnizaciones al dignatario en caso de invalidez permanente por accidentes, enfermedades catastróficas.</w:t>
      </w:r>
      <w:r w:rsidRPr="002D63B0">
        <w:rPr>
          <w:rFonts w:ascii="Arial" w:eastAsia="Arial" w:hAnsi="Arial" w:cs="Arial"/>
          <w:b/>
          <w:u w:val="single"/>
        </w:rPr>
        <w:t xml:space="preserve"> </w:t>
      </w:r>
    </w:p>
    <w:p w:rsidR="001B785B" w:rsidRPr="002D63B0" w:rsidRDefault="001B785B" w:rsidP="001B785B">
      <w:pPr>
        <w:spacing w:before="240" w:after="240" w:line="240" w:lineRule="exact"/>
        <w:jc w:val="both"/>
        <w:rPr>
          <w:rFonts w:ascii="Arial" w:eastAsia="Arial" w:hAnsi="Arial" w:cs="Arial"/>
        </w:rPr>
      </w:pPr>
      <w:r w:rsidRPr="002D63B0">
        <w:rPr>
          <w:rFonts w:ascii="Arial" w:eastAsia="Arial" w:hAnsi="Arial" w:cs="Arial"/>
          <w:b/>
        </w:rPr>
        <w:lastRenderedPageBreak/>
        <w:t>j. Seguro por invalidez</w:t>
      </w:r>
      <w:r w:rsidRPr="002D63B0">
        <w:rPr>
          <w:rFonts w:ascii="Arial" w:eastAsia="Arial" w:hAnsi="Arial" w:cs="Arial"/>
        </w:rPr>
        <w:t xml:space="preserve">. El Gobierno Nacional, en coordinación con la administración municipal o Distrital en desarrollo del principio de concurrencia, podrá contratar un seguro de invalidez, que garantice el pago de la incapacidad temporal sufrida por el dignatario de los Organismos de Acción Comunal, durante el ejercicio de sus funciones. </w:t>
      </w:r>
    </w:p>
    <w:p w:rsidR="001B785B" w:rsidRPr="002D63B0" w:rsidRDefault="001B785B" w:rsidP="001B785B">
      <w:pPr>
        <w:spacing w:before="240" w:after="240" w:line="240" w:lineRule="exact"/>
        <w:jc w:val="both"/>
        <w:rPr>
          <w:rFonts w:ascii="Arial" w:eastAsia="Arial" w:hAnsi="Arial" w:cs="Arial"/>
        </w:rPr>
      </w:pPr>
      <w:r w:rsidRPr="002D63B0">
        <w:rPr>
          <w:rFonts w:ascii="Arial" w:eastAsia="Arial" w:hAnsi="Arial" w:cs="Arial"/>
          <w:b/>
        </w:rPr>
        <w:t>k. Derecho de Protección Especial</w:t>
      </w:r>
      <w:r w:rsidRPr="002D63B0">
        <w:rPr>
          <w:rFonts w:ascii="Arial" w:eastAsia="Arial" w:hAnsi="Arial" w:cs="Arial"/>
        </w:rPr>
        <w:t>. El Gobierno Nacional, los gobernadores y alcaldes coordinarán con el Ministerio del Interior y la Unidad Nacional de Protección, las rutas y el acceso a esquemas de protección efectivos para proteger la vida y sus derechos conexos y los bienes de los dignatarios de</w:t>
      </w:r>
      <w:r w:rsidRPr="002D63B0">
        <w:rPr>
          <w:rFonts w:ascii="Arial" w:eastAsia="Arial" w:hAnsi="Arial" w:cs="Arial"/>
          <w:b/>
          <w:bCs/>
        </w:rPr>
        <w:t xml:space="preserve"> </w:t>
      </w:r>
      <w:r w:rsidRPr="002D63B0">
        <w:rPr>
          <w:rFonts w:ascii="Arial" w:eastAsia="Arial" w:hAnsi="Arial" w:cs="Arial"/>
        </w:rPr>
        <w:t xml:space="preserve">los Organismos de acción comunal que denuncien ataques en su contra. En consecuencia, realizarán todas las acciones necesarias para su protección. </w:t>
      </w:r>
    </w:p>
    <w:p w:rsidR="001B785B" w:rsidRPr="002D63B0" w:rsidRDefault="001B785B" w:rsidP="001B785B">
      <w:pPr>
        <w:spacing w:before="240" w:after="240" w:line="240" w:lineRule="exact"/>
        <w:jc w:val="both"/>
        <w:rPr>
          <w:rFonts w:ascii="Arial" w:eastAsia="Arial" w:hAnsi="Arial" w:cs="Arial"/>
        </w:rPr>
      </w:pPr>
      <w:r w:rsidRPr="002D63B0">
        <w:rPr>
          <w:rFonts w:ascii="Arial" w:eastAsia="Arial" w:hAnsi="Arial" w:cs="Arial"/>
          <w:b/>
        </w:rPr>
        <w:t>l. Auxilio de Subsistencia Económica</w:t>
      </w:r>
      <w:r w:rsidRPr="002D63B0">
        <w:rPr>
          <w:rFonts w:ascii="Arial" w:eastAsia="Arial" w:hAnsi="Arial" w:cs="Arial"/>
        </w:rPr>
        <w:t xml:space="preserve">. La Nación y los entes territoriales, en ejercicio del principio de concurrencia, podrán disponer en sus presupuestos auxilios económicos de subsistencia a los dignatarios de los Organismos de Acción Comunal que se encuentren clasificados dentro de los grupos A, B y C del Sisbén IV o el sistema que haga sus veces. </w:t>
      </w:r>
    </w:p>
    <w:p w:rsidR="001B785B" w:rsidRPr="002D63B0" w:rsidRDefault="001B785B" w:rsidP="001B785B">
      <w:pPr>
        <w:spacing w:before="240" w:line="240" w:lineRule="exact"/>
        <w:jc w:val="both"/>
        <w:rPr>
          <w:rFonts w:ascii="Arial" w:eastAsia="Arial" w:hAnsi="Arial" w:cs="Arial"/>
        </w:rPr>
      </w:pPr>
      <w:r w:rsidRPr="002D63B0">
        <w:rPr>
          <w:rFonts w:ascii="Arial" w:eastAsia="Arial" w:hAnsi="Arial" w:cs="Arial"/>
          <w:b/>
          <w:bCs/>
        </w:rPr>
        <w:t>Parágrafo.</w:t>
      </w:r>
      <w:r w:rsidRPr="002D63B0">
        <w:rPr>
          <w:rFonts w:ascii="Arial" w:eastAsia="Arial" w:hAnsi="Arial" w:cs="Arial"/>
        </w:rPr>
        <w:t xml:space="preserve"> El Gobierno Nacional Reglamentará la materia respecto de los requisitos y acceso a los beneficios dispuestos en la presente ley, dentro de los seis (6) meses siguientes a su entrada en vigencia. </w:t>
      </w:r>
    </w:p>
    <w:p w:rsidR="001B785B" w:rsidRPr="002D63B0" w:rsidRDefault="001B785B" w:rsidP="001B785B">
      <w:pPr>
        <w:spacing w:before="240" w:after="240" w:line="240" w:lineRule="exact"/>
        <w:jc w:val="both"/>
        <w:rPr>
          <w:rFonts w:ascii="Arial" w:eastAsia="Arial" w:hAnsi="Arial" w:cs="Arial"/>
          <w:strike/>
        </w:rPr>
      </w:pPr>
      <w:r w:rsidRPr="002D63B0">
        <w:rPr>
          <w:rFonts w:ascii="Arial" w:eastAsia="Arial" w:hAnsi="Arial" w:cs="Arial"/>
          <w:b/>
        </w:rPr>
        <w:t>Artículo 5</w:t>
      </w:r>
      <w:r w:rsidRPr="002D63B0">
        <w:rPr>
          <w:rFonts w:ascii="Arial" w:hAnsi="Arial" w:cs="Arial"/>
          <w:b/>
          <w:bCs/>
        </w:rPr>
        <w:t>º</w:t>
      </w:r>
      <w:r w:rsidRPr="002D63B0">
        <w:rPr>
          <w:rFonts w:ascii="Arial" w:eastAsia="Arial" w:hAnsi="Arial" w:cs="Arial"/>
          <w:b/>
        </w:rPr>
        <w:t xml:space="preserve">.  Comisión de Seguimiento. </w:t>
      </w:r>
      <w:r w:rsidRPr="002D63B0">
        <w:rPr>
          <w:rFonts w:ascii="Arial" w:eastAsia="Arial" w:hAnsi="Arial" w:cs="Arial"/>
        </w:rPr>
        <w:t>Créase la Comisión de seguimiento al cumplimiento de lo ordenado en la presente ley, la cual rendirá un informe de carácter semestral en el que se detallen los avances en la aplicación de lo aquí dispuesto.  La Comisión de Seguimiento estará conformada por (3) tres Senadores y (3) tres Representantes a la Cámara integrantes de las Comisiones Séptimas Constitucionales Permanentes del Congreso de la República.</w:t>
      </w:r>
    </w:p>
    <w:p w:rsidR="001B785B" w:rsidRPr="002D63B0" w:rsidRDefault="001B785B" w:rsidP="001B785B">
      <w:pPr>
        <w:spacing w:before="240" w:after="240" w:line="240" w:lineRule="exact"/>
        <w:jc w:val="both"/>
        <w:rPr>
          <w:rFonts w:ascii="Arial" w:eastAsia="Arial" w:hAnsi="Arial" w:cs="Arial"/>
        </w:rPr>
      </w:pPr>
      <w:r w:rsidRPr="002D63B0">
        <w:rPr>
          <w:rFonts w:ascii="Arial" w:eastAsia="Arial" w:hAnsi="Arial" w:cs="Arial"/>
          <w:b/>
        </w:rPr>
        <w:t>Artículo 6º. Vigencia y derogatorias</w:t>
      </w:r>
      <w:r w:rsidRPr="002D63B0">
        <w:rPr>
          <w:rFonts w:ascii="Arial" w:eastAsia="Arial" w:hAnsi="Arial" w:cs="Arial"/>
        </w:rPr>
        <w:t>. La presente ley rige a partir de su publicación y deroga las disposiciones que le sean contrarias.</w:t>
      </w:r>
    </w:p>
    <w:p w:rsidR="00C0258A" w:rsidRPr="00A64276" w:rsidRDefault="00C0258A" w:rsidP="00C0258A">
      <w:pPr>
        <w:autoSpaceDE w:val="0"/>
        <w:autoSpaceDN w:val="0"/>
        <w:adjustRightInd w:val="0"/>
        <w:spacing w:after="0" w:line="240" w:lineRule="exact"/>
        <w:jc w:val="both"/>
        <w:rPr>
          <w:rFonts w:ascii="Arial" w:hAnsi="Arial" w:cs="Arial"/>
          <w:color w:val="000000"/>
          <w14:ligatures w14:val="standardContextual"/>
        </w:rPr>
      </w:pPr>
    </w:p>
    <w:p w:rsidR="00F718B4" w:rsidRDefault="00F718B4" w:rsidP="00FC1DEF">
      <w:pPr>
        <w:pStyle w:val="Sinespaciado"/>
        <w:rPr>
          <w:rFonts w:cs="Arial"/>
          <w:color w:val="000000"/>
        </w:rPr>
      </w:pPr>
    </w:p>
    <w:p w:rsidR="00F718B4" w:rsidRDefault="00F718B4" w:rsidP="00FC1DEF">
      <w:pPr>
        <w:pStyle w:val="Sinespaciado"/>
        <w:rPr>
          <w:rFonts w:cs="Arial"/>
          <w:color w:val="000000"/>
        </w:rPr>
      </w:pPr>
    </w:p>
    <w:p w:rsidR="001B785B" w:rsidRPr="001B785B" w:rsidRDefault="001B785B" w:rsidP="001B785B">
      <w:pPr>
        <w:spacing w:after="0" w:line="240" w:lineRule="exact"/>
        <w:jc w:val="both"/>
        <w:rPr>
          <w:rFonts w:ascii="Arial" w:eastAsia="Arial" w:hAnsi="Arial" w:cs="Arial"/>
          <w:b/>
          <w:bCs/>
          <w:lang w:eastAsia="es-MX"/>
        </w:rPr>
      </w:pPr>
      <w:r w:rsidRPr="001B785B">
        <w:rPr>
          <w:rFonts w:ascii="Arial" w:eastAsia="Arial" w:hAnsi="Arial" w:cs="Arial"/>
          <w:b/>
          <w:bCs/>
          <w:lang w:eastAsia="es-MX"/>
        </w:rPr>
        <w:t xml:space="preserve">GERMÁN ROGELIO ROZO ANÍS          </w:t>
      </w:r>
      <w:r w:rsidRPr="001B785B">
        <w:rPr>
          <w:rFonts w:ascii="Arial" w:eastAsia="Arial" w:hAnsi="Arial" w:cs="Arial"/>
          <w:b/>
          <w:bCs/>
          <w:lang w:eastAsia="es-MX"/>
        </w:rPr>
        <w:tab/>
      </w:r>
      <w:r>
        <w:rPr>
          <w:rFonts w:ascii="Arial" w:eastAsia="Arial" w:hAnsi="Arial" w:cs="Arial"/>
          <w:b/>
          <w:bCs/>
          <w:lang w:eastAsia="es-MX"/>
        </w:rPr>
        <w:tab/>
      </w:r>
      <w:r w:rsidRPr="001B785B">
        <w:rPr>
          <w:rFonts w:ascii="Arial" w:eastAsia="Arial" w:hAnsi="Arial" w:cs="Arial"/>
          <w:b/>
          <w:bCs/>
          <w:lang w:eastAsia="es-MX"/>
        </w:rPr>
        <w:t>VÍCTOR MANUEL SALCEDO GUERRERO</w:t>
      </w:r>
    </w:p>
    <w:p w:rsidR="001B785B" w:rsidRPr="001B785B" w:rsidRDefault="001B785B" w:rsidP="001B785B">
      <w:pPr>
        <w:spacing w:after="0" w:line="240" w:lineRule="exact"/>
        <w:jc w:val="both"/>
        <w:rPr>
          <w:rFonts w:ascii="Arial" w:eastAsia="Arial" w:hAnsi="Arial" w:cs="Arial"/>
          <w:lang w:eastAsia="es-MX"/>
        </w:rPr>
      </w:pPr>
      <w:r w:rsidRPr="001B785B">
        <w:rPr>
          <w:rFonts w:ascii="Arial" w:eastAsia="Arial" w:hAnsi="Arial" w:cs="Arial"/>
          <w:lang w:eastAsia="es-MX"/>
        </w:rPr>
        <w:t>Representante a la Cámara</w:t>
      </w:r>
      <w:r w:rsidRPr="001B785B">
        <w:rPr>
          <w:rFonts w:ascii="Arial" w:eastAsia="Arial" w:hAnsi="Arial" w:cs="Arial"/>
          <w:lang w:eastAsia="es-MX"/>
        </w:rPr>
        <w:tab/>
      </w:r>
      <w:r w:rsidRPr="001B785B">
        <w:rPr>
          <w:rFonts w:ascii="Arial" w:eastAsia="Arial" w:hAnsi="Arial" w:cs="Arial"/>
          <w:lang w:eastAsia="es-MX"/>
        </w:rPr>
        <w:tab/>
      </w:r>
      <w:r w:rsidRPr="001B785B">
        <w:rPr>
          <w:rFonts w:ascii="Arial" w:eastAsia="Arial" w:hAnsi="Arial" w:cs="Arial"/>
          <w:lang w:eastAsia="es-MX"/>
        </w:rPr>
        <w:tab/>
      </w:r>
      <w:r>
        <w:rPr>
          <w:rFonts w:ascii="Arial" w:eastAsia="Arial" w:hAnsi="Arial" w:cs="Arial"/>
          <w:lang w:eastAsia="es-MX"/>
        </w:rPr>
        <w:tab/>
      </w:r>
      <w:r w:rsidRPr="001B785B">
        <w:rPr>
          <w:rFonts w:ascii="Arial" w:eastAsia="Arial" w:hAnsi="Arial" w:cs="Arial"/>
          <w:lang w:eastAsia="es-MX"/>
        </w:rPr>
        <w:t>Representante a la Cámara</w:t>
      </w:r>
    </w:p>
    <w:p w:rsidR="001B785B" w:rsidRPr="001B785B" w:rsidRDefault="001B785B" w:rsidP="001B785B">
      <w:pPr>
        <w:spacing w:after="0" w:line="240" w:lineRule="exact"/>
        <w:jc w:val="both"/>
        <w:rPr>
          <w:rFonts w:ascii="Arial" w:eastAsia="Arial" w:hAnsi="Arial" w:cs="Arial"/>
          <w:lang w:eastAsia="es-MX"/>
        </w:rPr>
      </w:pPr>
    </w:p>
    <w:p w:rsidR="001B785B" w:rsidRPr="001B785B" w:rsidRDefault="001B785B" w:rsidP="001B785B">
      <w:pPr>
        <w:spacing w:after="0" w:line="240" w:lineRule="exact"/>
        <w:jc w:val="both"/>
        <w:rPr>
          <w:rFonts w:ascii="Arial" w:eastAsia="Arial" w:hAnsi="Arial" w:cs="Arial"/>
          <w:highlight w:val="yellow"/>
          <w:lang w:eastAsia="es-MX"/>
        </w:rPr>
      </w:pPr>
    </w:p>
    <w:p w:rsidR="001B785B" w:rsidRPr="001B785B" w:rsidRDefault="001B785B" w:rsidP="001B785B">
      <w:pPr>
        <w:spacing w:after="0" w:line="240" w:lineRule="exact"/>
        <w:jc w:val="both"/>
        <w:rPr>
          <w:rFonts w:ascii="Arial" w:eastAsia="Arial" w:hAnsi="Arial" w:cs="Arial"/>
          <w:b/>
          <w:bCs/>
          <w:lang w:eastAsia="es-MX"/>
        </w:rPr>
      </w:pPr>
    </w:p>
    <w:p w:rsidR="001B785B" w:rsidRPr="001B785B" w:rsidRDefault="001B785B" w:rsidP="001B785B">
      <w:pPr>
        <w:spacing w:after="0" w:line="240" w:lineRule="exact"/>
        <w:jc w:val="both"/>
        <w:rPr>
          <w:rFonts w:ascii="Arial" w:eastAsia="Arial" w:hAnsi="Arial" w:cs="Arial"/>
          <w:b/>
          <w:bCs/>
          <w:lang w:eastAsia="es-MX"/>
        </w:rPr>
      </w:pPr>
    </w:p>
    <w:p w:rsidR="001B785B" w:rsidRPr="001B785B" w:rsidRDefault="001B785B" w:rsidP="001B785B">
      <w:pPr>
        <w:spacing w:after="0" w:line="240" w:lineRule="exact"/>
        <w:jc w:val="both"/>
        <w:rPr>
          <w:rFonts w:ascii="Arial" w:eastAsia="Arial" w:hAnsi="Arial" w:cs="Arial"/>
          <w:b/>
          <w:bCs/>
          <w:lang w:eastAsia="es-MX"/>
        </w:rPr>
      </w:pPr>
      <w:r w:rsidRPr="001B785B">
        <w:rPr>
          <w:rFonts w:ascii="Arial" w:eastAsia="Arial" w:hAnsi="Arial" w:cs="Arial"/>
          <w:b/>
          <w:bCs/>
          <w:lang w:eastAsia="es-MX"/>
        </w:rPr>
        <w:t xml:space="preserve">JUAN FELIPE CORZO ÁLVAREZ </w:t>
      </w:r>
      <w:r w:rsidRPr="001B785B">
        <w:rPr>
          <w:rFonts w:ascii="Arial" w:eastAsia="Arial" w:hAnsi="Arial" w:cs="Arial"/>
          <w:b/>
          <w:bCs/>
          <w:lang w:eastAsia="es-MX"/>
        </w:rPr>
        <w:tab/>
      </w:r>
      <w:r w:rsidRPr="001B785B">
        <w:rPr>
          <w:rFonts w:ascii="Arial" w:eastAsia="Arial" w:hAnsi="Arial" w:cs="Arial"/>
          <w:b/>
          <w:bCs/>
          <w:lang w:eastAsia="es-MX"/>
        </w:rPr>
        <w:tab/>
      </w:r>
      <w:r>
        <w:rPr>
          <w:rFonts w:ascii="Arial" w:eastAsia="Arial" w:hAnsi="Arial" w:cs="Arial"/>
          <w:b/>
          <w:bCs/>
          <w:lang w:eastAsia="es-MX"/>
        </w:rPr>
        <w:tab/>
      </w:r>
      <w:r w:rsidRPr="001B785B">
        <w:rPr>
          <w:rFonts w:ascii="Arial" w:eastAsia="Arial" w:hAnsi="Arial" w:cs="Arial"/>
          <w:b/>
          <w:bCs/>
          <w:lang w:eastAsia="es-MX"/>
        </w:rPr>
        <w:t>JORGE ALEXANDER QUEVEDO</w:t>
      </w:r>
    </w:p>
    <w:p w:rsidR="001B785B" w:rsidRPr="001B785B" w:rsidRDefault="001B785B" w:rsidP="001B785B">
      <w:pPr>
        <w:spacing w:after="0" w:line="240" w:lineRule="exact"/>
        <w:jc w:val="both"/>
        <w:rPr>
          <w:rFonts w:ascii="Arial" w:eastAsia="Arial" w:hAnsi="Arial" w:cs="Arial"/>
          <w:lang w:eastAsia="es-MX"/>
        </w:rPr>
      </w:pPr>
      <w:r w:rsidRPr="001B785B">
        <w:rPr>
          <w:rFonts w:ascii="Arial" w:eastAsia="Arial" w:hAnsi="Arial" w:cs="Arial"/>
          <w:lang w:eastAsia="es-MX"/>
        </w:rPr>
        <w:t>Representante a la Cámara</w:t>
      </w:r>
      <w:r w:rsidRPr="001B785B">
        <w:rPr>
          <w:rFonts w:ascii="Arial" w:eastAsia="Arial" w:hAnsi="Arial" w:cs="Arial"/>
          <w:lang w:eastAsia="es-MX"/>
        </w:rPr>
        <w:tab/>
      </w:r>
      <w:r w:rsidRPr="001B785B">
        <w:rPr>
          <w:rFonts w:ascii="Arial" w:eastAsia="Arial" w:hAnsi="Arial" w:cs="Arial"/>
          <w:lang w:eastAsia="es-MX"/>
        </w:rPr>
        <w:tab/>
      </w:r>
      <w:r w:rsidRPr="001B785B">
        <w:rPr>
          <w:rFonts w:ascii="Arial" w:eastAsia="Arial" w:hAnsi="Arial" w:cs="Arial"/>
          <w:lang w:eastAsia="es-MX"/>
        </w:rPr>
        <w:tab/>
      </w:r>
      <w:r>
        <w:rPr>
          <w:rFonts w:ascii="Arial" w:eastAsia="Arial" w:hAnsi="Arial" w:cs="Arial"/>
          <w:lang w:eastAsia="es-MX"/>
        </w:rPr>
        <w:tab/>
      </w:r>
      <w:r w:rsidRPr="001B785B">
        <w:rPr>
          <w:rFonts w:ascii="Arial" w:eastAsia="Arial" w:hAnsi="Arial" w:cs="Arial"/>
          <w:lang w:eastAsia="es-MX"/>
        </w:rPr>
        <w:t>Representante a la Cámara</w:t>
      </w:r>
    </w:p>
    <w:p w:rsidR="001B785B" w:rsidRPr="001B785B" w:rsidRDefault="001B785B" w:rsidP="001B785B">
      <w:pPr>
        <w:spacing w:after="0" w:line="240" w:lineRule="exact"/>
        <w:jc w:val="both"/>
        <w:rPr>
          <w:rFonts w:ascii="Arial" w:eastAsia="Arial" w:hAnsi="Arial" w:cs="Arial"/>
          <w:highlight w:val="yellow"/>
          <w:lang w:eastAsia="es-MX"/>
        </w:rPr>
      </w:pPr>
    </w:p>
    <w:p w:rsidR="001B785B" w:rsidRPr="001B785B" w:rsidRDefault="001B785B" w:rsidP="001B785B">
      <w:pPr>
        <w:spacing w:after="0" w:line="240" w:lineRule="exact"/>
        <w:jc w:val="both"/>
        <w:rPr>
          <w:rFonts w:ascii="Arial" w:eastAsia="Arial" w:hAnsi="Arial" w:cs="Arial"/>
          <w:highlight w:val="yellow"/>
          <w:lang w:eastAsia="es-MX"/>
        </w:rPr>
      </w:pPr>
    </w:p>
    <w:p w:rsidR="001B785B" w:rsidRPr="001B785B" w:rsidRDefault="001B785B" w:rsidP="001B785B">
      <w:pPr>
        <w:spacing w:after="0" w:line="240" w:lineRule="exact"/>
        <w:jc w:val="both"/>
        <w:rPr>
          <w:rFonts w:ascii="Arial" w:eastAsia="Arial" w:hAnsi="Arial" w:cs="Arial"/>
          <w:highlight w:val="yellow"/>
          <w:lang w:eastAsia="es-MX"/>
        </w:rPr>
      </w:pPr>
    </w:p>
    <w:p w:rsidR="001813C5" w:rsidRDefault="001813C5" w:rsidP="001B785B">
      <w:pPr>
        <w:spacing w:after="0" w:line="240" w:lineRule="exact"/>
        <w:jc w:val="both"/>
        <w:rPr>
          <w:rFonts w:ascii="Arial" w:eastAsia="Arial" w:hAnsi="Arial" w:cs="Arial"/>
          <w:b/>
          <w:bCs/>
          <w:lang w:eastAsia="es-MX"/>
        </w:rPr>
      </w:pPr>
    </w:p>
    <w:p w:rsidR="001B785B" w:rsidRPr="001B785B" w:rsidRDefault="001B785B" w:rsidP="001B785B">
      <w:pPr>
        <w:spacing w:after="0" w:line="240" w:lineRule="exact"/>
        <w:jc w:val="both"/>
        <w:rPr>
          <w:rFonts w:ascii="Arial" w:eastAsia="Arial" w:hAnsi="Arial" w:cs="Arial"/>
          <w:b/>
          <w:bCs/>
          <w:lang w:eastAsia="es-MX"/>
        </w:rPr>
      </w:pPr>
      <w:r w:rsidRPr="001B785B">
        <w:rPr>
          <w:rFonts w:ascii="Arial" w:eastAsia="Arial" w:hAnsi="Arial" w:cs="Arial"/>
          <w:b/>
          <w:bCs/>
          <w:lang w:eastAsia="es-MX"/>
        </w:rPr>
        <w:t xml:space="preserve">JUAN CAMILO LONDOÑO </w:t>
      </w:r>
      <w:r w:rsidRPr="001B785B">
        <w:rPr>
          <w:rFonts w:ascii="Arial" w:eastAsia="Arial" w:hAnsi="Arial" w:cs="Arial"/>
          <w:b/>
          <w:bCs/>
          <w:lang w:eastAsia="es-MX"/>
        </w:rPr>
        <w:tab/>
      </w:r>
      <w:r w:rsidRPr="001B785B">
        <w:rPr>
          <w:rFonts w:ascii="Arial" w:eastAsia="Arial" w:hAnsi="Arial" w:cs="Arial"/>
          <w:b/>
          <w:bCs/>
          <w:lang w:eastAsia="es-MX"/>
        </w:rPr>
        <w:tab/>
      </w:r>
      <w:r w:rsidRPr="001B785B">
        <w:rPr>
          <w:rFonts w:ascii="Arial" w:eastAsia="Arial" w:hAnsi="Arial" w:cs="Arial"/>
          <w:b/>
          <w:bCs/>
          <w:lang w:eastAsia="es-MX"/>
        </w:rPr>
        <w:tab/>
      </w:r>
      <w:r>
        <w:rPr>
          <w:rFonts w:ascii="Arial" w:eastAsia="Arial" w:hAnsi="Arial" w:cs="Arial"/>
          <w:b/>
          <w:bCs/>
          <w:lang w:eastAsia="es-MX"/>
        </w:rPr>
        <w:tab/>
      </w:r>
      <w:r w:rsidRPr="001B785B">
        <w:rPr>
          <w:rFonts w:ascii="Arial" w:eastAsia="Arial" w:hAnsi="Arial" w:cs="Arial"/>
          <w:b/>
          <w:bCs/>
          <w:lang w:eastAsia="es-MX"/>
        </w:rPr>
        <w:t>BETSY JUDITH PÉREZ ARANGO</w:t>
      </w:r>
    </w:p>
    <w:p w:rsidR="001B785B" w:rsidRPr="001B785B" w:rsidRDefault="001B785B" w:rsidP="001B785B">
      <w:pPr>
        <w:spacing w:after="0" w:line="240" w:lineRule="exact"/>
        <w:jc w:val="both"/>
        <w:rPr>
          <w:rFonts w:ascii="Arial" w:eastAsia="Arial" w:hAnsi="Arial" w:cs="Arial"/>
          <w:lang w:eastAsia="es-MX"/>
        </w:rPr>
      </w:pPr>
      <w:r w:rsidRPr="001B785B">
        <w:rPr>
          <w:rFonts w:ascii="Arial" w:eastAsia="Arial" w:hAnsi="Arial" w:cs="Arial"/>
          <w:lang w:eastAsia="es-MX"/>
        </w:rPr>
        <w:t>Representante a la Cámara</w:t>
      </w:r>
      <w:r w:rsidRPr="001B785B">
        <w:rPr>
          <w:rFonts w:ascii="Arial" w:eastAsia="Arial" w:hAnsi="Arial" w:cs="Arial"/>
          <w:lang w:eastAsia="es-MX"/>
        </w:rPr>
        <w:tab/>
      </w:r>
      <w:r w:rsidRPr="001B785B">
        <w:rPr>
          <w:rFonts w:ascii="Arial" w:eastAsia="Arial" w:hAnsi="Arial" w:cs="Arial"/>
          <w:lang w:eastAsia="es-MX"/>
        </w:rPr>
        <w:tab/>
      </w:r>
      <w:r w:rsidRPr="001B785B">
        <w:rPr>
          <w:rFonts w:ascii="Arial" w:eastAsia="Arial" w:hAnsi="Arial" w:cs="Arial"/>
          <w:lang w:eastAsia="es-MX"/>
        </w:rPr>
        <w:tab/>
      </w:r>
      <w:r>
        <w:rPr>
          <w:rFonts w:ascii="Arial" w:eastAsia="Arial" w:hAnsi="Arial" w:cs="Arial"/>
          <w:lang w:eastAsia="es-MX"/>
        </w:rPr>
        <w:tab/>
      </w:r>
      <w:r w:rsidRPr="001B785B">
        <w:rPr>
          <w:rFonts w:ascii="Arial" w:eastAsia="Arial" w:hAnsi="Arial" w:cs="Arial"/>
          <w:lang w:eastAsia="es-MX"/>
        </w:rPr>
        <w:t>Representante a la Cámara</w:t>
      </w:r>
    </w:p>
    <w:p w:rsidR="001B785B" w:rsidRPr="001B785B" w:rsidRDefault="001B785B" w:rsidP="001B785B">
      <w:pPr>
        <w:spacing w:after="0" w:line="240" w:lineRule="exact"/>
        <w:jc w:val="both"/>
        <w:rPr>
          <w:rFonts w:ascii="Arial" w:eastAsia="Arial" w:hAnsi="Arial" w:cs="Arial"/>
          <w:highlight w:val="yellow"/>
          <w:lang w:eastAsia="es-MX"/>
        </w:rPr>
      </w:pPr>
    </w:p>
    <w:p w:rsidR="001B785B" w:rsidRPr="001B785B" w:rsidRDefault="001B785B" w:rsidP="001B785B">
      <w:pPr>
        <w:spacing w:after="0" w:line="240" w:lineRule="exact"/>
        <w:jc w:val="both"/>
        <w:rPr>
          <w:rFonts w:ascii="Arial" w:eastAsia="Arial" w:hAnsi="Arial" w:cs="Arial"/>
          <w:highlight w:val="yellow"/>
          <w:lang w:eastAsia="es-MX"/>
        </w:rPr>
      </w:pPr>
    </w:p>
    <w:p w:rsidR="001B785B" w:rsidRPr="001B785B" w:rsidRDefault="001B785B" w:rsidP="001B785B">
      <w:pPr>
        <w:spacing w:after="0" w:line="240" w:lineRule="exact"/>
        <w:jc w:val="both"/>
        <w:rPr>
          <w:rFonts w:ascii="Arial" w:eastAsia="Arial" w:hAnsi="Arial" w:cs="Arial"/>
          <w:highlight w:val="yellow"/>
          <w:lang w:eastAsia="es-MX"/>
        </w:rPr>
      </w:pPr>
    </w:p>
    <w:p w:rsidR="001813C5" w:rsidRDefault="001813C5" w:rsidP="001B785B">
      <w:pPr>
        <w:spacing w:after="0" w:line="240" w:lineRule="exact"/>
        <w:jc w:val="both"/>
        <w:rPr>
          <w:rFonts w:ascii="Arial" w:eastAsia="Arial" w:hAnsi="Arial" w:cs="Arial"/>
          <w:b/>
          <w:bCs/>
          <w:lang w:eastAsia="es-MX"/>
        </w:rPr>
      </w:pPr>
    </w:p>
    <w:p w:rsidR="001B785B" w:rsidRPr="001B785B" w:rsidRDefault="001B785B" w:rsidP="001B785B">
      <w:pPr>
        <w:spacing w:after="0" w:line="240" w:lineRule="exact"/>
        <w:jc w:val="both"/>
        <w:rPr>
          <w:rFonts w:ascii="Arial" w:eastAsia="Arial" w:hAnsi="Arial" w:cs="Arial"/>
          <w:b/>
          <w:bCs/>
          <w:lang w:eastAsia="es-MX"/>
        </w:rPr>
      </w:pPr>
      <w:r w:rsidRPr="001B785B">
        <w:rPr>
          <w:rFonts w:ascii="Arial" w:eastAsia="Arial" w:hAnsi="Arial" w:cs="Arial"/>
          <w:b/>
          <w:bCs/>
          <w:lang w:eastAsia="es-MX"/>
        </w:rPr>
        <w:t xml:space="preserve">GERMÁN JOSÉ GÓMEZ </w:t>
      </w:r>
      <w:r w:rsidRPr="001B785B">
        <w:rPr>
          <w:rFonts w:ascii="Arial" w:eastAsia="Arial" w:hAnsi="Arial" w:cs="Arial"/>
          <w:b/>
          <w:bCs/>
          <w:lang w:eastAsia="es-MX"/>
        </w:rPr>
        <w:tab/>
      </w:r>
      <w:r w:rsidRPr="001B785B">
        <w:rPr>
          <w:rFonts w:ascii="Arial" w:eastAsia="Arial" w:hAnsi="Arial" w:cs="Arial"/>
          <w:b/>
          <w:bCs/>
          <w:lang w:eastAsia="es-MX"/>
        </w:rPr>
        <w:tab/>
      </w:r>
      <w:r w:rsidRPr="001B785B">
        <w:rPr>
          <w:rFonts w:ascii="Arial" w:eastAsia="Arial" w:hAnsi="Arial" w:cs="Arial"/>
          <w:b/>
          <w:bCs/>
          <w:lang w:eastAsia="es-MX"/>
        </w:rPr>
        <w:tab/>
      </w:r>
      <w:r>
        <w:rPr>
          <w:rFonts w:ascii="Arial" w:eastAsia="Arial" w:hAnsi="Arial" w:cs="Arial"/>
          <w:b/>
          <w:bCs/>
          <w:lang w:eastAsia="es-MX"/>
        </w:rPr>
        <w:tab/>
      </w:r>
      <w:r w:rsidRPr="001B785B">
        <w:rPr>
          <w:rFonts w:ascii="Arial" w:eastAsia="Arial" w:hAnsi="Arial" w:cs="Arial"/>
          <w:b/>
          <w:bCs/>
          <w:lang w:eastAsia="es-MX"/>
        </w:rPr>
        <w:t>AGMETH JOSÉ ESCAF TIJERINO</w:t>
      </w:r>
    </w:p>
    <w:p w:rsidR="001B785B" w:rsidRPr="001B785B" w:rsidRDefault="001B785B" w:rsidP="001B785B">
      <w:pPr>
        <w:spacing w:after="0" w:line="240" w:lineRule="exact"/>
        <w:jc w:val="both"/>
        <w:rPr>
          <w:rFonts w:ascii="Arial" w:eastAsia="Arial" w:hAnsi="Arial" w:cs="Arial"/>
          <w:lang w:eastAsia="es-MX"/>
        </w:rPr>
      </w:pPr>
      <w:r w:rsidRPr="001B785B">
        <w:rPr>
          <w:rFonts w:ascii="Arial" w:eastAsia="Arial" w:hAnsi="Arial" w:cs="Arial"/>
          <w:lang w:eastAsia="es-MX"/>
        </w:rPr>
        <w:t>Representante a la Cámara</w:t>
      </w:r>
      <w:r w:rsidRPr="001B785B">
        <w:rPr>
          <w:rFonts w:ascii="Arial" w:eastAsia="Arial" w:hAnsi="Arial" w:cs="Arial"/>
          <w:lang w:eastAsia="es-MX"/>
        </w:rPr>
        <w:tab/>
      </w:r>
      <w:r w:rsidRPr="001B785B">
        <w:rPr>
          <w:rFonts w:ascii="Arial" w:eastAsia="Arial" w:hAnsi="Arial" w:cs="Arial"/>
          <w:lang w:eastAsia="es-MX"/>
        </w:rPr>
        <w:tab/>
      </w:r>
      <w:r w:rsidRPr="001B785B">
        <w:rPr>
          <w:rFonts w:ascii="Arial" w:eastAsia="Arial" w:hAnsi="Arial" w:cs="Arial"/>
          <w:lang w:eastAsia="es-MX"/>
        </w:rPr>
        <w:tab/>
      </w:r>
      <w:r>
        <w:rPr>
          <w:rFonts w:ascii="Arial" w:eastAsia="Arial" w:hAnsi="Arial" w:cs="Arial"/>
          <w:lang w:eastAsia="es-MX"/>
        </w:rPr>
        <w:tab/>
      </w:r>
      <w:r w:rsidRPr="001B785B">
        <w:rPr>
          <w:rFonts w:ascii="Arial" w:eastAsia="Arial" w:hAnsi="Arial" w:cs="Arial"/>
          <w:lang w:eastAsia="es-MX"/>
        </w:rPr>
        <w:t>Representante a la Cámara</w:t>
      </w:r>
    </w:p>
    <w:p w:rsidR="004D631D" w:rsidRDefault="004D631D" w:rsidP="001B785B">
      <w:pPr>
        <w:pStyle w:val="Sinespaciado"/>
        <w:rPr>
          <w:rFonts w:eastAsia="Arial" w:cs="Arial"/>
          <w:b/>
          <w:color w:val="000000"/>
        </w:rPr>
      </w:pPr>
    </w:p>
    <w:sectPr w:rsidR="004D631D">
      <w:headerReference w:type="default" r:id="rId9"/>
      <w:footerReference w:type="default" r:id="rId10"/>
      <w:type w:val="continuous"/>
      <w:pgSz w:w="12240" w:h="15840"/>
      <w:pgMar w:top="1531" w:right="1134" w:bottom="567" w:left="1588" w:header="51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A24" w:rsidRDefault="003C7A24">
      <w:pPr>
        <w:spacing w:after="0" w:line="240" w:lineRule="auto"/>
      </w:pPr>
      <w:r>
        <w:separator/>
      </w:r>
    </w:p>
  </w:endnote>
  <w:endnote w:type="continuationSeparator" w:id="0">
    <w:p w:rsidR="003C7A24" w:rsidRDefault="003C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1A" w:rsidRDefault="001E431A" w:rsidP="001E431A">
    <w:pPr>
      <w:pBdr>
        <w:top w:val="nil"/>
        <w:left w:val="nil"/>
        <w:bottom w:val="nil"/>
        <w:right w:val="nil"/>
        <w:between w:val="nil"/>
      </w:pBdr>
      <w:tabs>
        <w:tab w:val="center" w:pos="4419"/>
        <w:tab w:val="right" w:pos="8838"/>
      </w:tabs>
      <w:spacing w:after="0" w:line="240" w:lineRule="auto"/>
      <w:jc w:val="center"/>
      <w:rPr>
        <w:b/>
        <w:color w:val="000000"/>
      </w:rPr>
    </w:pPr>
    <w:r>
      <w:rPr>
        <w:b/>
        <w:color w:val="000000"/>
      </w:rPr>
      <w:t>____________________________________________________________________</w:t>
    </w:r>
  </w:p>
  <w:p w:rsidR="00900D93" w:rsidRPr="001E431A" w:rsidRDefault="001E431A" w:rsidP="001E431A">
    <w:pPr>
      <w:pBdr>
        <w:top w:val="nil"/>
        <w:left w:val="nil"/>
        <w:bottom w:val="nil"/>
        <w:right w:val="nil"/>
        <w:between w:val="nil"/>
      </w:pBdr>
      <w:tabs>
        <w:tab w:val="center" w:pos="4419"/>
        <w:tab w:val="right" w:pos="8838"/>
      </w:tabs>
      <w:spacing w:after="0" w:line="240" w:lineRule="auto"/>
      <w:jc w:val="center"/>
      <w:rPr>
        <w:b/>
        <w:color w:val="000000"/>
      </w:rPr>
    </w:pPr>
    <w:r>
      <w:rPr>
        <w:b/>
        <w:color w:val="000000"/>
      </w:rPr>
      <w:t>Texto d</w:t>
    </w:r>
    <w:r w:rsidRPr="001E431A">
      <w:rPr>
        <w:b/>
        <w:color w:val="000000"/>
      </w:rPr>
      <w:t>efinitivo aprobado en primer debate</w:t>
    </w:r>
    <w:r>
      <w:rPr>
        <w:b/>
        <w:color w:val="000000"/>
      </w:rPr>
      <w:t>,</w:t>
    </w:r>
    <w:r w:rsidR="001B785B">
      <w:rPr>
        <w:b/>
        <w:color w:val="000000"/>
      </w:rPr>
      <w:t xml:space="preserve"> proyecto de ley 331</w:t>
    </w:r>
    <w:r w:rsidRPr="001E431A">
      <w:rPr>
        <w:b/>
        <w:color w:val="000000"/>
      </w:rPr>
      <w:t xml:space="preserve"> de 202</w:t>
    </w:r>
    <w:r w:rsidR="001B785B">
      <w:rPr>
        <w:b/>
        <w:color w:val="000000"/>
      </w:rPr>
      <w:t>3</w:t>
    </w:r>
    <w:r w:rsidRPr="001E431A">
      <w:rPr>
        <w:b/>
        <w:color w:val="000000"/>
      </w:rPr>
      <w:t xml:space="preserve"> Cámara</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A24" w:rsidRDefault="003C7A24">
      <w:pPr>
        <w:spacing w:after="0" w:line="240" w:lineRule="auto"/>
      </w:pPr>
      <w:r>
        <w:separator/>
      </w:r>
    </w:p>
  </w:footnote>
  <w:footnote w:type="continuationSeparator" w:id="0">
    <w:p w:rsidR="003C7A24" w:rsidRDefault="003C7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6"/>
  </w:num>
  <w:num w:numId="5">
    <w:abstractNumId w:val="8"/>
  </w:num>
  <w:num w:numId="6">
    <w:abstractNumId w:val="10"/>
  </w:num>
  <w:num w:numId="7">
    <w:abstractNumId w:val="1"/>
  </w:num>
  <w:num w:numId="8">
    <w:abstractNumId w:val="7"/>
  </w:num>
  <w:num w:numId="9">
    <w:abstractNumId w:val="20"/>
  </w:num>
  <w:num w:numId="10">
    <w:abstractNumId w:val="12"/>
  </w:num>
  <w:num w:numId="11">
    <w:abstractNumId w:val="3"/>
  </w:num>
  <w:num w:numId="12">
    <w:abstractNumId w:val="21"/>
  </w:num>
  <w:num w:numId="13">
    <w:abstractNumId w:val="17"/>
  </w:num>
  <w:num w:numId="14">
    <w:abstractNumId w:val="19"/>
  </w:num>
  <w:num w:numId="15">
    <w:abstractNumId w:val="15"/>
  </w:num>
  <w:num w:numId="16">
    <w:abstractNumId w:val="6"/>
  </w:num>
  <w:num w:numId="17">
    <w:abstractNumId w:val="13"/>
  </w:num>
  <w:num w:numId="18">
    <w:abstractNumId w:val="4"/>
  </w:num>
  <w:num w:numId="19">
    <w:abstractNumId w:val="11"/>
  </w:num>
  <w:num w:numId="20">
    <w:abstractNumId w:val="22"/>
  </w:num>
  <w:num w:numId="21">
    <w:abstractNumId w:val="1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D4049"/>
    <w:rsid w:val="000F3249"/>
    <w:rsid w:val="000F3F41"/>
    <w:rsid w:val="00102AC9"/>
    <w:rsid w:val="00106067"/>
    <w:rsid w:val="001303C3"/>
    <w:rsid w:val="00134E23"/>
    <w:rsid w:val="00141A7E"/>
    <w:rsid w:val="00145732"/>
    <w:rsid w:val="00152BC0"/>
    <w:rsid w:val="001813C5"/>
    <w:rsid w:val="001826C3"/>
    <w:rsid w:val="00193E1C"/>
    <w:rsid w:val="001B1C28"/>
    <w:rsid w:val="001B785B"/>
    <w:rsid w:val="001E431A"/>
    <w:rsid w:val="00227978"/>
    <w:rsid w:val="00245986"/>
    <w:rsid w:val="00273C01"/>
    <w:rsid w:val="002A1BAF"/>
    <w:rsid w:val="00330383"/>
    <w:rsid w:val="00332B24"/>
    <w:rsid w:val="00344B4D"/>
    <w:rsid w:val="00375224"/>
    <w:rsid w:val="003B3F8A"/>
    <w:rsid w:val="003C3541"/>
    <w:rsid w:val="003C5D20"/>
    <w:rsid w:val="003C7A24"/>
    <w:rsid w:val="003D08DE"/>
    <w:rsid w:val="00484475"/>
    <w:rsid w:val="004866D4"/>
    <w:rsid w:val="004B0124"/>
    <w:rsid w:val="004D631D"/>
    <w:rsid w:val="005004BD"/>
    <w:rsid w:val="00523CF6"/>
    <w:rsid w:val="00533F5F"/>
    <w:rsid w:val="00540311"/>
    <w:rsid w:val="00545AF9"/>
    <w:rsid w:val="0057061D"/>
    <w:rsid w:val="005961B1"/>
    <w:rsid w:val="005970FF"/>
    <w:rsid w:val="005B79B2"/>
    <w:rsid w:val="006020FC"/>
    <w:rsid w:val="0066551C"/>
    <w:rsid w:val="00676A02"/>
    <w:rsid w:val="006A6E00"/>
    <w:rsid w:val="006A6E52"/>
    <w:rsid w:val="006D2A59"/>
    <w:rsid w:val="006D531F"/>
    <w:rsid w:val="006E594C"/>
    <w:rsid w:val="00703BB5"/>
    <w:rsid w:val="0070410A"/>
    <w:rsid w:val="00751A35"/>
    <w:rsid w:val="00767847"/>
    <w:rsid w:val="00780935"/>
    <w:rsid w:val="007D2959"/>
    <w:rsid w:val="007D3C92"/>
    <w:rsid w:val="008A4A9B"/>
    <w:rsid w:val="008C5481"/>
    <w:rsid w:val="008E2412"/>
    <w:rsid w:val="008E689B"/>
    <w:rsid w:val="00900D93"/>
    <w:rsid w:val="00931B69"/>
    <w:rsid w:val="00980D46"/>
    <w:rsid w:val="00984A08"/>
    <w:rsid w:val="009A5477"/>
    <w:rsid w:val="009E1683"/>
    <w:rsid w:val="009E1B8B"/>
    <w:rsid w:val="009E3F42"/>
    <w:rsid w:val="00A10DC4"/>
    <w:rsid w:val="00A260C7"/>
    <w:rsid w:val="00A27D65"/>
    <w:rsid w:val="00A549FD"/>
    <w:rsid w:val="00AA5167"/>
    <w:rsid w:val="00AC09C4"/>
    <w:rsid w:val="00AC2952"/>
    <w:rsid w:val="00AF4493"/>
    <w:rsid w:val="00B31264"/>
    <w:rsid w:val="00B4204B"/>
    <w:rsid w:val="00B47081"/>
    <w:rsid w:val="00B57363"/>
    <w:rsid w:val="00BA2504"/>
    <w:rsid w:val="00BA6354"/>
    <w:rsid w:val="00BC7FB8"/>
    <w:rsid w:val="00BF5872"/>
    <w:rsid w:val="00BF5DE4"/>
    <w:rsid w:val="00C0258A"/>
    <w:rsid w:val="00C04298"/>
    <w:rsid w:val="00C0783C"/>
    <w:rsid w:val="00C10A0F"/>
    <w:rsid w:val="00C24F1B"/>
    <w:rsid w:val="00C25E24"/>
    <w:rsid w:val="00C64587"/>
    <w:rsid w:val="00C70084"/>
    <w:rsid w:val="00C85EE9"/>
    <w:rsid w:val="00D16302"/>
    <w:rsid w:val="00D410FE"/>
    <w:rsid w:val="00D65C9D"/>
    <w:rsid w:val="00DC1FF5"/>
    <w:rsid w:val="00E02D4A"/>
    <w:rsid w:val="00E2082D"/>
    <w:rsid w:val="00E27292"/>
    <w:rsid w:val="00EB3579"/>
    <w:rsid w:val="00EF5B1B"/>
    <w:rsid w:val="00F04E2C"/>
    <w:rsid w:val="00F25E2F"/>
    <w:rsid w:val="00F42CA9"/>
    <w:rsid w:val="00F50D3E"/>
    <w:rsid w:val="00F66F0B"/>
    <w:rsid w:val="00F67633"/>
    <w:rsid w:val="00F718B4"/>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C5BE"/>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C9DC92-4B52-45A1-88AF-EA824AFCD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803</Words>
  <Characters>4420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8</cp:revision>
  <cp:lastPrinted>2022-11-28T15:09:00Z</cp:lastPrinted>
  <dcterms:created xsi:type="dcterms:W3CDTF">2024-06-04T21:09:00Z</dcterms:created>
  <dcterms:modified xsi:type="dcterms:W3CDTF">2024-06-06T16:58:00Z</dcterms:modified>
</cp:coreProperties>
</file>